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CCCD" w14:textId="07DED334" w:rsidR="00F23561" w:rsidRDefault="004E6EA2" w:rsidP="00F23561">
      <w:pPr>
        <w:rPr>
          <w:b/>
          <w:bCs/>
          <w:sz w:val="40"/>
          <w:szCs w:val="40"/>
          <w:u w:val="single"/>
        </w:rPr>
      </w:pPr>
      <w:r>
        <w:rPr>
          <w:b/>
          <w:bCs/>
          <w:sz w:val="40"/>
          <w:szCs w:val="40"/>
          <w:u w:val="single"/>
        </w:rPr>
        <w:t>Ju</w:t>
      </w:r>
      <w:r w:rsidR="008B10CC">
        <w:rPr>
          <w:b/>
          <w:bCs/>
          <w:sz w:val="40"/>
          <w:szCs w:val="40"/>
          <w:u w:val="single"/>
        </w:rPr>
        <w:t>ly</w:t>
      </w:r>
      <w:r w:rsidR="00F23561">
        <w:rPr>
          <w:b/>
          <w:bCs/>
          <w:sz w:val="40"/>
          <w:szCs w:val="40"/>
          <w:u w:val="single"/>
        </w:rPr>
        <w:t xml:space="preserve"> 2026</w:t>
      </w:r>
      <w:r w:rsidR="00F23561" w:rsidRPr="007448CB">
        <w:rPr>
          <w:b/>
          <w:bCs/>
          <w:sz w:val="40"/>
          <w:szCs w:val="40"/>
          <w:u w:val="single"/>
        </w:rPr>
        <w:t>: Market Insight</w:t>
      </w:r>
    </w:p>
    <w:p w14:paraId="16B6CDB6" w14:textId="77777777" w:rsidR="00F23561" w:rsidRDefault="00F23561" w:rsidP="00F23561">
      <w:pPr>
        <w:rPr>
          <w:b/>
          <w:bCs/>
          <w:sz w:val="28"/>
          <w:szCs w:val="28"/>
          <w:u w:val="single"/>
        </w:rPr>
      </w:pPr>
      <w:r w:rsidRPr="00F9514B">
        <w:rPr>
          <w:b/>
          <w:bCs/>
          <w:sz w:val="28"/>
          <w:szCs w:val="28"/>
          <w:u w:val="single"/>
        </w:rPr>
        <w:t>Commentary</w:t>
      </w:r>
      <w:r>
        <w:rPr>
          <w:b/>
          <w:bCs/>
          <w:sz w:val="28"/>
          <w:szCs w:val="28"/>
          <w:u w:val="single"/>
        </w:rPr>
        <w:t>:</w:t>
      </w:r>
    </w:p>
    <w:p w14:paraId="00FA5F26" w14:textId="17CBD214" w:rsidR="00562441" w:rsidRDefault="0089722A">
      <w:r>
        <w:t xml:space="preserve">July </w:t>
      </w:r>
      <w:r w:rsidR="00127306">
        <w:t>has been a volatile month with prices hitting the highest levels since March</w:t>
      </w:r>
      <w:r w:rsidR="00BE64B4">
        <w:t>. Geopolitical tensions continue to dominate the headline</w:t>
      </w:r>
      <w:r w:rsidR="00521796">
        <w:t>s and prices have been supported with some concerns around long term storage.</w:t>
      </w:r>
      <w:r w:rsidR="00D558B4">
        <w:t xml:space="preserve"> The current projection is for storage to be around 70% to 75%</w:t>
      </w:r>
      <w:r w:rsidR="00C80D65">
        <w:t xml:space="preserve"> full which falls below the 80% target by the end of the year. </w:t>
      </w:r>
      <w:r w:rsidR="00F51614">
        <w:t>It remains to be confirmed whether the storage level targets will be adjusted given the circumstances in the market so far this year.</w:t>
      </w:r>
      <w:r w:rsidR="00521796">
        <w:br/>
      </w:r>
      <w:r w:rsidR="008040A1">
        <w:t>Further escalations and attacks</w:t>
      </w:r>
      <w:r w:rsidR="00D46BAA">
        <w:t xml:space="preserve"> throughout the month saw front month prices rise by up to 40%</w:t>
      </w:r>
      <w:r w:rsidR="008040A1">
        <w:t xml:space="preserve"> </w:t>
      </w:r>
      <w:r w:rsidR="007A0C42">
        <w:t xml:space="preserve">. June had seen </w:t>
      </w:r>
      <w:r w:rsidR="00D66BB3">
        <w:t>optimism of a ceasefire agreement being reached but the escalations throughout July have cas</w:t>
      </w:r>
      <w:r w:rsidR="00E47E01">
        <w:t xml:space="preserve">t </w:t>
      </w:r>
      <w:r w:rsidR="00D66BB3">
        <w:t xml:space="preserve">further doubt over </w:t>
      </w:r>
      <w:r w:rsidR="00130AB9">
        <w:t xml:space="preserve">the long term impact on prices. Traffic has rapidly decreased in the Strait of Hormuz again and </w:t>
      </w:r>
      <w:r w:rsidR="005A6A4B">
        <w:t>LNG export from Qatar has returned to minimal levels.</w:t>
      </w:r>
    </w:p>
    <w:p w14:paraId="6308B1B5" w14:textId="7435DCC3" w:rsidR="00562441" w:rsidRDefault="00FD7DF7">
      <w:pPr>
        <w:rPr>
          <w:lang w:eastAsia="en-GB"/>
        </w:rPr>
      </w:pPr>
      <w:r>
        <w:t>U</w:t>
      </w:r>
      <w:r w:rsidR="00F4586A">
        <w:t>K</w:t>
      </w:r>
      <w:r>
        <w:t xml:space="preserve"> and European </w:t>
      </w:r>
      <w:r w:rsidR="00C35BAD">
        <w:t>weather h</w:t>
      </w:r>
      <w:r w:rsidR="00C27CEF">
        <w:t>as been above season norm for the majority of July</w:t>
      </w:r>
      <w:r w:rsidR="0002064E">
        <w:t xml:space="preserve">, this does create extra cooling demand </w:t>
      </w:r>
      <w:r w:rsidR="007A7B52">
        <w:t>which does add some extra pressure to prices.</w:t>
      </w:r>
      <w:r w:rsidR="002A17B4">
        <w:br/>
      </w:r>
      <w:r w:rsidR="002A17B4">
        <w:br/>
        <w:t xml:space="preserve">In adjacent markets, </w:t>
      </w:r>
      <w:r w:rsidR="00210C5A">
        <w:t xml:space="preserve">oil prices </w:t>
      </w:r>
      <w:r w:rsidR="00E36078">
        <w:t>moved higher reaching weekly highs</w:t>
      </w:r>
      <w:r w:rsidR="00B27588">
        <w:t xml:space="preserve">. Two </w:t>
      </w:r>
      <w:r w:rsidR="007E5D63">
        <w:t>oil tankers reportedly abandoned attempts to transit the Strait of Hormuz</w:t>
      </w:r>
      <w:r w:rsidR="002D7407">
        <w:t>.</w:t>
      </w:r>
      <w:r w:rsidR="002D7407">
        <w:br/>
        <w:t xml:space="preserve">Inflation rates have </w:t>
      </w:r>
      <w:r w:rsidR="000A7D63">
        <w:t>held at 3.75% again despite the perceived risk in the markets.</w:t>
      </w:r>
    </w:p>
    <w:p w14:paraId="2872F334" w14:textId="2950EBE8" w:rsidR="00973674" w:rsidRPr="00F0337D" w:rsidRDefault="00F0337D" w:rsidP="00562441">
      <w:pPr>
        <w:rPr>
          <w:b/>
          <w:bCs/>
          <w:u w:val="single"/>
        </w:rPr>
      </w:pPr>
      <w:r w:rsidRPr="00F0337D">
        <w:rPr>
          <w:b/>
          <w:bCs/>
          <w:u w:val="single"/>
        </w:rPr>
        <w:t xml:space="preserve">Fundamental drivers </w:t>
      </w:r>
    </w:p>
    <w:p w14:paraId="4BF77853" w14:textId="77B5C6A4" w:rsidR="007C3A6E" w:rsidRDefault="007C3A6E" w:rsidP="007C3A6E">
      <w:pPr>
        <w:pStyle w:val="ListParagraph"/>
        <w:numPr>
          <w:ilvl w:val="0"/>
          <w:numId w:val="2"/>
        </w:numPr>
      </w:pPr>
      <w:r w:rsidRPr="002B023D">
        <w:rPr>
          <w:b/>
          <w:bCs/>
        </w:rPr>
        <w:t>European storage</w:t>
      </w:r>
      <w:r>
        <w:t xml:space="preserve"> </w:t>
      </w:r>
      <w:r w:rsidR="007573D8">
        <w:t xml:space="preserve">Still </w:t>
      </w:r>
      <w:r w:rsidR="004F79FE">
        <w:t>a fair way below the average storage levels for this time of year.</w:t>
      </w:r>
      <w:r w:rsidR="00CD4354">
        <w:t xml:space="preserve"> </w:t>
      </w:r>
      <w:r w:rsidR="00DE33B0">
        <w:t>Not currently on track for 80% target by end of the year.</w:t>
      </w:r>
      <w:r w:rsidR="00585257">
        <w:t xml:space="preserve"> </w:t>
      </w:r>
    </w:p>
    <w:p w14:paraId="6FCFD301" w14:textId="626CF351" w:rsidR="007C3A6E" w:rsidRDefault="007C3A6E" w:rsidP="007C3A6E">
      <w:pPr>
        <w:pStyle w:val="ListParagraph"/>
        <w:numPr>
          <w:ilvl w:val="0"/>
          <w:numId w:val="2"/>
        </w:numPr>
      </w:pPr>
      <w:r w:rsidRPr="00CF340F">
        <w:rPr>
          <w:b/>
          <w:bCs/>
        </w:rPr>
        <w:t>Norwegian flows</w:t>
      </w:r>
      <w:r>
        <w:t xml:space="preserve"> </w:t>
      </w:r>
      <w:r w:rsidR="00417CC2">
        <w:t xml:space="preserve">Very stable in July within minimum disruption. </w:t>
      </w:r>
    </w:p>
    <w:p w14:paraId="12DEB8D0" w14:textId="72768DC3" w:rsidR="007C3A6E" w:rsidRDefault="007C3A6E" w:rsidP="007C3A6E">
      <w:pPr>
        <w:pStyle w:val="ListParagraph"/>
        <w:numPr>
          <w:ilvl w:val="0"/>
          <w:numId w:val="2"/>
        </w:numPr>
      </w:pPr>
      <w:r>
        <w:rPr>
          <w:b/>
          <w:bCs/>
        </w:rPr>
        <w:t>Geopolitics</w:t>
      </w:r>
      <w:r>
        <w:t xml:space="preserve"> The conflict in Iran </w:t>
      </w:r>
      <w:r w:rsidR="00280CF5">
        <w:t xml:space="preserve">remains </w:t>
      </w:r>
      <w:r>
        <w:t>the main driver due to the knock on effect with production and transportation of LNG</w:t>
      </w:r>
      <w:r w:rsidR="00AA7A16">
        <w:t xml:space="preserve">. Peace talks </w:t>
      </w:r>
      <w:r w:rsidR="002D5AFF">
        <w:t>are still ongoing</w:t>
      </w:r>
      <w:r w:rsidR="00D3647F">
        <w:t xml:space="preserve"> </w:t>
      </w:r>
      <w:r w:rsidR="009F0A7B">
        <w:t>but perhaps with less optimism now than in previous months giving the es</w:t>
      </w:r>
      <w:r w:rsidR="00AC4E2D">
        <w:t>calations in conflict again.</w:t>
      </w:r>
    </w:p>
    <w:p w14:paraId="0564C953" w14:textId="2DA45266" w:rsidR="007C3A6E" w:rsidRDefault="007C3A6E" w:rsidP="007C3A6E">
      <w:pPr>
        <w:pStyle w:val="ListParagraph"/>
        <w:numPr>
          <w:ilvl w:val="0"/>
          <w:numId w:val="2"/>
        </w:numPr>
      </w:pPr>
      <w:r w:rsidRPr="00E35834">
        <w:rPr>
          <w:b/>
          <w:bCs/>
        </w:rPr>
        <w:t>Temperatures</w:t>
      </w:r>
      <w:r>
        <w:t xml:space="preserve"> </w:t>
      </w:r>
      <w:r w:rsidR="00A4779E">
        <w:t>July has been a ho</w:t>
      </w:r>
      <w:r w:rsidR="0052077A">
        <w:t xml:space="preserve">tter than average </w:t>
      </w:r>
      <w:r w:rsidR="000B5E57">
        <w:t>month compared to season norm weather patterns</w:t>
      </w:r>
      <w:r w:rsidR="00A4779E">
        <w:t xml:space="preserve">. </w:t>
      </w:r>
      <w:r w:rsidR="00A15FDB">
        <w:t xml:space="preserve">The good weather is forecast to continue into August and September. </w:t>
      </w:r>
      <w:r w:rsidR="00241168">
        <w:t xml:space="preserve">This will have an impact </w:t>
      </w:r>
      <w:r w:rsidR="00A4779E">
        <w:t xml:space="preserve">on </w:t>
      </w:r>
      <w:r w:rsidR="00241168">
        <w:t>cooling demand</w:t>
      </w:r>
      <w:r w:rsidR="00315A91">
        <w:t>, however this can be balanced out by the fact the good weather can also help with storage injections.</w:t>
      </w:r>
    </w:p>
    <w:p w14:paraId="60322A0F" w14:textId="0CDD7FEF" w:rsidR="00576D3F" w:rsidRDefault="00A15FDB" w:rsidP="00576D3F">
      <w:r w:rsidRPr="00A15FDB">
        <w:rPr>
          <w:b/>
          <w:bCs/>
          <w:sz w:val="28"/>
          <w:szCs w:val="28"/>
        </w:rPr>
        <w:lastRenderedPageBreak/>
        <w:drawing>
          <wp:anchor distT="0" distB="0" distL="114300" distR="114300" simplePos="0" relativeHeight="251667456" behindDoc="0" locked="0" layoutInCell="1" allowOverlap="1" wp14:anchorId="298F511C" wp14:editId="729882B3">
            <wp:simplePos x="0" y="0"/>
            <wp:positionH relativeFrom="page">
              <wp:align>right</wp:align>
            </wp:positionH>
            <wp:positionV relativeFrom="paragraph">
              <wp:posOffset>426720</wp:posOffset>
            </wp:positionV>
            <wp:extent cx="3711575" cy="2313305"/>
            <wp:effectExtent l="0" t="0" r="3175" b="0"/>
            <wp:wrapSquare wrapText="bothSides"/>
            <wp:docPr id="1974092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9284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1575" cy="2313305"/>
                    </a:xfrm>
                    <a:prstGeom prst="rect">
                      <a:avLst/>
                    </a:prstGeom>
                  </pic:spPr>
                </pic:pic>
              </a:graphicData>
            </a:graphic>
            <wp14:sizeRelH relativeFrom="page">
              <wp14:pctWidth>0</wp14:pctWidth>
            </wp14:sizeRelH>
            <wp14:sizeRelV relativeFrom="page">
              <wp14:pctHeight>0</wp14:pctHeight>
            </wp14:sizeRelV>
          </wp:anchor>
        </w:drawing>
      </w:r>
      <w:r w:rsidRPr="00237A63">
        <w:drawing>
          <wp:anchor distT="0" distB="0" distL="114300" distR="114300" simplePos="0" relativeHeight="251666432" behindDoc="0" locked="0" layoutInCell="1" allowOverlap="1" wp14:anchorId="37427918" wp14:editId="1DF8FA7D">
            <wp:simplePos x="0" y="0"/>
            <wp:positionH relativeFrom="margin">
              <wp:posOffset>-670560</wp:posOffset>
            </wp:positionH>
            <wp:positionV relativeFrom="paragraph">
              <wp:posOffset>335280</wp:posOffset>
            </wp:positionV>
            <wp:extent cx="3604260" cy="2366645"/>
            <wp:effectExtent l="0" t="0" r="0" b="0"/>
            <wp:wrapSquare wrapText="bothSides"/>
            <wp:docPr id="1839585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8532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4260" cy="2366645"/>
                    </a:xfrm>
                    <a:prstGeom prst="rect">
                      <a:avLst/>
                    </a:prstGeom>
                  </pic:spPr>
                </pic:pic>
              </a:graphicData>
            </a:graphic>
            <wp14:sizeRelH relativeFrom="page">
              <wp14:pctWidth>0</wp14:pctWidth>
            </wp14:sizeRelH>
            <wp14:sizeRelV relativeFrom="page">
              <wp14:pctHeight>0</wp14:pctHeight>
            </wp14:sizeRelV>
          </wp:anchor>
        </w:drawing>
      </w:r>
    </w:p>
    <w:p w14:paraId="3BDCF3D9" w14:textId="033792B3" w:rsidR="009E3C99" w:rsidRDefault="009E3C99" w:rsidP="0000601F">
      <w:pPr>
        <w:rPr>
          <w:b/>
          <w:bCs/>
          <w:sz w:val="28"/>
          <w:szCs w:val="28"/>
        </w:rPr>
      </w:pPr>
    </w:p>
    <w:p w14:paraId="6993BC3D" w14:textId="7AAB07BF" w:rsidR="0000601F" w:rsidRPr="005C3A1C" w:rsidRDefault="0000601F" w:rsidP="0000601F">
      <w:pPr>
        <w:rPr>
          <w:b/>
          <w:bCs/>
          <w:sz w:val="28"/>
          <w:szCs w:val="28"/>
        </w:rPr>
      </w:pPr>
      <w:r w:rsidRPr="005C3A1C">
        <w:rPr>
          <w:b/>
          <w:bCs/>
          <w:sz w:val="28"/>
          <w:szCs w:val="28"/>
        </w:rPr>
        <w:t>Market</w:t>
      </w:r>
      <w:r>
        <w:rPr>
          <w:b/>
          <w:bCs/>
          <w:sz w:val="28"/>
          <w:szCs w:val="28"/>
        </w:rPr>
        <w:t>s – Day Ahead Price History</w:t>
      </w:r>
    </w:p>
    <w:p w14:paraId="63A969EB" w14:textId="5E3D12A2" w:rsidR="0000601F" w:rsidRDefault="0000601F" w:rsidP="0000601F">
      <w:pPr>
        <w:rPr>
          <w:b/>
          <w:bCs/>
        </w:rPr>
      </w:pPr>
      <w:r w:rsidRPr="00516E1D">
        <w:rPr>
          <w:b/>
          <w:bCs/>
        </w:rPr>
        <w:t>UK Gas</w:t>
      </w:r>
      <w:r>
        <w:rPr>
          <w:b/>
          <w:bCs/>
        </w:rPr>
        <w:t>:</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UK Power:</w:t>
      </w:r>
      <w:r w:rsidRPr="005C3A1C">
        <w:rPr>
          <w:noProof/>
        </w:rPr>
        <w:t xml:space="preserve"> </w:t>
      </w:r>
    </w:p>
    <w:p w14:paraId="6B60DC5E" w14:textId="2881A6DA" w:rsidR="00973674" w:rsidRDefault="006B6704" w:rsidP="00562441">
      <w:r w:rsidRPr="006B6704">
        <w:drawing>
          <wp:anchor distT="0" distB="0" distL="114300" distR="114300" simplePos="0" relativeHeight="251669504" behindDoc="0" locked="0" layoutInCell="1" allowOverlap="1" wp14:anchorId="69CBC60D" wp14:editId="5C1A7414">
            <wp:simplePos x="0" y="0"/>
            <wp:positionH relativeFrom="margin">
              <wp:posOffset>3040380</wp:posOffset>
            </wp:positionH>
            <wp:positionV relativeFrom="paragraph">
              <wp:posOffset>184150</wp:posOffset>
            </wp:positionV>
            <wp:extent cx="3467100" cy="2423160"/>
            <wp:effectExtent l="0" t="0" r="0" b="0"/>
            <wp:wrapSquare wrapText="bothSides"/>
            <wp:docPr id="22559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972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7100" cy="2423160"/>
                    </a:xfrm>
                    <a:prstGeom prst="rect">
                      <a:avLst/>
                    </a:prstGeom>
                  </pic:spPr>
                </pic:pic>
              </a:graphicData>
            </a:graphic>
            <wp14:sizeRelH relativeFrom="page">
              <wp14:pctWidth>0</wp14:pctWidth>
            </wp14:sizeRelH>
            <wp14:sizeRelV relativeFrom="page">
              <wp14:pctHeight>0</wp14:pctHeight>
            </wp14:sizeRelV>
          </wp:anchor>
        </w:drawing>
      </w:r>
      <w:r w:rsidR="00C369E3" w:rsidRPr="00C369E3">
        <w:drawing>
          <wp:anchor distT="0" distB="0" distL="114300" distR="114300" simplePos="0" relativeHeight="251668480" behindDoc="0" locked="0" layoutInCell="1" allowOverlap="1" wp14:anchorId="574277CA" wp14:editId="286AB92A">
            <wp:simplePos x="0" y="0"/>
            <wp:positionH relativeFrom="margin">
              <wp:posOffset>-830580</wp:posOffset>
            </wp:positionH>
            <wp:positionV relativeFrom="paragraph">
              <wp:posOffset>252730</wp:posOffset>
            </wp:positionV>
            <wp:extent cx="3741420" cy="2436495"/>
            <wp:effectExtent l="0" t="0" r="0" b="1905"/>
            <wp:wrapSquare wrapText="bothSides"/>
            <wp:docPr id="870259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5943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41420" cy="2436495"/>
                    </a:xfrm>
                    <a:prstGeom prst="rect">
                      <a:avLst/>
                    </a:prstGeom>
                  </pic:spPr>
                </pic:pic>
              </a:graphicData>
            </a:graphic>
            <wp14:sizeRelH relativeFrom="page">
              <wp14:pctWidth>0</wp14:pctWidth>
            </wp14:sizeRelH>
            <wp14:sizeRelV relativeFrom="page">
              <wp14:pctHeight>0</wp14:pctHeight>
            </wp14:sizeRelV>
          </wp:anchor>
        </w:drawing>
      </w:r>
    </w:p>
    <w:p w14:paraId="6AF9731E" w14:textId="75EEAF37" w:rsidR="00973674" w:rsidRDefault="00973674" w:rsidP="00562441"/>
    <w:p w14:paraId="7BDA7E47" w14:textId="265CF991" w:rsidR="00973674" w:rsidRDefault="00973674" w:rsidP="00562441"/>
    <w:p w14:paraId="6CCB225A" w14:textId="77777777" w:rsidR="00946AEB" w:rsidRDefault="00946AEB" w:rsidP="00562441"/>
    <w:p w14:paraId="049F6C9D" w14:textId="01A70360" w:rsidR="00973674" w:rsidRDefault="00973674" w:rsidP="00562441"/>
    <w:p w14:paraId="3D12D0B0" w14:textId="28CE5052" w:rsidR="00973674" w:rsidRDefault="00973674" w:rsidP="00562441"/>
    <w:p w14:paraId="139940E2" w14:textId="5502F305" w:rsidR="00973674" w:rsidRDefault="00973674" w:rsidP="00562441"/>
    <w:p w14:paraId="2014E21F" w14:textId="77777777" w:rsidR="00330DF2" w:rsidRDefault="00330DF2" w:rsidP="00562441"/>
    <w:p w14:paraId="400448F5" w14:textId="77777777" w:rsidR="00330DF2" w:rsidRDefault="00330DF2" w:rsidP="00562441"/>
    <w:p w14:paraId="32F8C7E4" w14:textId="22491E08" w:rsidR="00562441" w:rsidRDefault="00973674" w:rsidP="00562441">
      <w:r w:rsidRPr="00973674">
        <w:rPr>
          <w:b/>
          <w:bCs/>
          <w:u w:val="single"/>
        </w:rPr>
        <w:lastRenderedPageBreak/>
        <w:t>Outlook</w:t>
      </w:r>
      <w:r>
        <w:br/>
      </w:r>
      <w:r w:rsidR="00562441">
        <w:t>Looking ahead, the market is likely to remain reactive to developments in global gas supply, geopolitical tensions, and the progress of storage injections across Europe. While softer summer demand and stronger renewable generation may continue to cap near-term volatility, the broader outlook remains finely balanced. For customers, this reinforces the importance of keeping a close eye on market opportunities and maintaining a clear procurement strategy, particularly where contracts are due for renewal over the coming months.</w:t>
      </w:r>
    </w:p>
    <w:p w14:paraId="5CB20762" w14:textId="77777777" w:rsidR="00357A7A" w:rsidRDefault="00357A7A" w:rsidP="00562441"/>
    <w:p w14:paraId="7A50A1B7" w14:textId="77777777" w:rsidR="008A514B" w:rsidRDefault="008A514B">
      <w:pPr>
        <w:rPr>
          <w:lang w:eastAsia="en-GB"/>
        </w:rPr>
      </w:pPr>
      <w:r>
        <w:t>From a commercial perspective, the market continues to present both risk and opportunity. While stronger renewable generation and softer seasonal demand may help contain short-term volatility, customers should remain alert to any movement in gas supply, storage progress or geopolitical developments that could quickly shift pricing. For organisations approaching renewal, maintaining a clear purchasing strategy and being ready to act on favourable market windows will remain key to managing budget exposure over the months ahead.</w:t>
      </w:r>
    </w:p>
    <w:p w14:paraId="55E3A8CA" w14:textId="77777777" w:rsidR="008A514B" w:rsidRDefault="008A514B" w:rsidP="00562441"/>
    <w:p w14:paraId="3EA15F08" w14:textId="77777777" w:rsidR="008A514B" w:rsidRDefault="008A514B" w:rsidP="00562441">
      <w:pPr>
        <w:rPr>
          <w:lang w:eastAsia="en-GB"/>
        </w:rPr>
      </w:pPr>
    </w:p>
    <w:sectPr w:rsidR="008A514B" w:rsidSect="005624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29F"/>
    <w:multiLevelType w:val="hybridMultilevel"/>
    <w:tmpl w:val="315E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8834DD"/>
    <w:multiLevelType w:val="multilevel"/>
    <w:tmpl w:val="7FD6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5220022">
    <w:abstractNumId w:val="1"/>
  </w:num>
  <w:num w:numId="2" w16cid:durableId="1562205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41"/>
    <w:rsid w:val="0000601F"/>
    <w:rsid w:val="0002064E"/>
    <w:rsid w:val="000622DA"/>
    <w:rsid w:val="000A7D63"/>
    <w:rsid w:val="000A7E34"/>
    <w:rsid w:val="000B5E57"/>
    <w:rsid w:val="000E438F"/>
    <w:rsid w:val="00127306"/>
    <w:rsid w:val="00130AB9"/>
    <w:rsid w:val="00210C5A"/>
    <w:rsid w:val="00214022"/>
    <w:rsid w:val="00237A63"/>
    <w:rsid w:val="00241168"/>
    <w:rsid w:val="00243DF0"/>
    <w:rsid w:val="00280CF5"/>
    <w:rsid w:val="002A17B4"/>
    <w:rsid w:val="002B5BEA"/>
    <w:rsid w:val="002D5AFF"/>
    <w:rsid w:val="002D7407"/>
    <w:rsid w:val="00315A91"/>
    <w:rsid w:val="00330DF2"/>
    <w:rsid w:val="00331403"/>
    <w:rsid w:val="00357A7A"/>
    <w:rsid w:val="00381BDB"/>
    <w:rsid w:val="003C1CEC"/>
    <w:rsid w:val="003C5804"/>
    <w:rsid w:val="00417CC2"/>
    <w:rsid w:val="004440A4"/>
    <w:rsid w:val="004460D8"/>
    <w:rsid w:val="004D0967"/>
    <w:rsid w:val="004D7533"/>
    <w:rsid w:val="004D775A"/>
    <w:rsid w:val="004E6EA2"/>
    <w:rsid w:val="004F79FE"/>
    <w:rsid w:val="0052077A"/>
    <w:rsid w:val="00521796"/>
    <w:rsid w:val="00540DC5"/>
    <w:rsid w:val="00562441"/>
    <w:rsid w:val="00576D3F"/>
    <w:rsid w:val="00585257"/>
    <w:rsid w:val="005A6A4B"/>
    <w:rsid w:val="005C7991"/>
    <w:rsid w:val="005D0F15"/>
    <w:rsid w:val="00602020"/>
    <w:rsid w:val="006476A4"/>
    <w:rsid w:val="00671542"/>
    <w:rsid w:val="006B6704"/>
    <w:rsid w:val="007573D8"/>
    <w:rsid w:val="007A0C42"/>
    <w:rsid w:val="007A7B52"/>
    <w:rsid w:val="007C3A6E"/>
    <w:rsid w:val="007C6801"/>
    <w:rsid w:val="007C761F"/>
    <w:rsid w:val="007E5D63"/>
    <w:rsid w:val="008040A1"/>
    <w:rsid w:val="00871C01"/>
    <w:rsid w:val="008737B4"/>
    <w:rsid w:val="0089722A"/>
    <w:rsid w:val="008A1D93"/>
    <w:rsid w:val="008A3B6E"/>
    <w:rsid w:val="008A514B"/>
    <w:rsid w:val="008B10CC"/>
    <w:rsid w:val="00946AEB"/>
    <w:rsid w:val="00960698"/>
    <w:rsid w:val="00973674"/>
    <w:rsid w:val="0099061B"/>
    <w:rsid w:val="009D0F73"/>
    <w:rsid w:val="009D4D01"/>
    <w:rsid w:val="009D675B"/>
    <w:rsid w:val="009E3C99"/>
    <w:rsid w:val="009F0A7B"/>
    <w:rsid w:val="009F5487"/>
    <w:rsid w:val="00A107B9"/>
    <w:rsid w:val="00A15FDB"/>
    <w:rsid w:val="00A4779E"/>
    <w:rsid w:val="00A536F8"/>
    <w:rsid w:val="00A664EB"/>
    <w:rsid w:val="00A85434"/>
    <w:rsid w:val="00AA642D"/>
    <w:rsid w:val="00AA7A16"/>
    <w:rsid w:val="00AC4E2D"/>
    <w:rsid w:val="00B0056B"/>
    <w:rsid w:val="00B27588"/>
    <w:rsid w:val="00B5612A"/>
    <w:rsid w:val="00B573B7"/>
    <w:rsid w:val="00B7727E"/>
    <w:rsid w:val="00B9528D"/>
    <w:rsid w:val="00BD004E"/>
    <w:rsid w:val="00BE0BC3"/>
    <w:rsid w:val="00BE64B4"/>
    <w:rsid w:val="00C27CEF"/>
    <w:rsid w:val="00C351CC"/>
    <w:rsid w:val="00C35BAD"/>
    <w:rsid w:val="00C369E3"/>
    <w:rsid w:val="00C63C90"/>
    <w:rsid w:val="00C80D65"/>
    <w:rsid w:val="00CA1998"/>
    <w:rsid w:val="00CD4354"/>
    <w:rsid w:val="00D3647F"/>
    <w:rsid w:val="00D46BAA"/>
    <w:rsid w:val="00D558B4"/>
    <w:rsid w:val="00D66BB3"/>
    <w:rsid w:val="00DB5763"/>
    <w:rsid w:val="00DE33B0"/>
    <w:rsid w:val="00E36078"/>
    <w:rsid w:val="00E47E01"/>
    <w:rsid w:val="00E54C63"/>
    <w:rsid w:val="00E63EDF"/>
    <w:rsid w:val="00F0337D"/>
    <w:rsid w:val="00F23561"/>
    <w:rsid w:val="00F4586A"/>
    <w:rsid w:val="00F51614"/>
    <w:rsid w:val="00FC5E5A"/>
    <w:rsid w:val="00FD76E3"/>
    <w:rsid w:val="00FD7DF7"/>
    <w:rsid w:val="00FE6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2D7E"/>
  <w15:chartTrackingRefBased/>
  <w15:docId w15:val="{0F9900C8-6A71-49E2-8F65-E8B83F1B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4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624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24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24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24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24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4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4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4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4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24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24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24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24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24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4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4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441"/>
    <w:rPr>
      <w:rFonts w:eastAsiaTheme="majorEastAsia" w:cstheme="majorBidi"/>
      <w:color w:val="272727" w:themeColor="text1" w:themeTint="D8"/>
    </w:rPr>
  </w:style>
  <w:style w:type="paragraph" w:styleId="Title">
    <w:name w:val="Title"/>
    <w:basedOn w:val="Normal"/>
    <w:next w:val="Normal"/>
    <w:link w:val="TitleChar"/>
    <w:uiPriority w:val="10"/>
    <w:qFormat/>
    <w:rsid w:val="005624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4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4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4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441"/>
    <w:pPr>
      <w:spacing w:before="160"/>
      <w:jc w:val="center"/>
    </w:pPr>
    <w:rPr>
      <w:i/>
      <w:iCs/>
      <w:color w:val="404040" w:themeColor="text1" w:themeTint="BF"/>
    </w:rPr>
  </w:style>
  <w:style w:type="character" w:customStyle="1" w:styleId="QuoteChar">
    <w:name w:val="Quote Char"/>
    <w:basedOn w:val="DefaultParagraphFont"/>
    <w:link w:val="Quote"/>
    <w:uiPriority w:val="29"/>
    <w:rsid w:val="00562441"/>
    <w:rPr>
      <w:i/>
      <w:iCs/>
      <w:color w:val="404040" w:themeColor="text1" w:themeTint="BF"/>
    </w:rPr>
  </w:style>
  <w:style w:type="paragraph" w:styleId="ListParagraph">
    <w:name w:val="List Paragraph"/>
    <w:basedOn w:val="Normal"/>
    <w:uiPriority w:val="34"/>
    <w:qFormat/>
    <w:rsid w:val="00562441"/>
    <w:pPr>
      <w:ind w:left="720"/>
      <w:contextualSpacing/>
    </w:pPr>
  </w:style>
  <w:style w:type="character" w:styleId="IntenseEmphasis">
    <w:name w:val="Intense Emphasis"/>
    <w:basedOn w:val="DefaultParagraphFont"/>
    <w:uiPriority w:val="21"/>
    <w:qFormat/>
    <w:rsid w:val="00562441"/>
    <w:rPr>
      <w:i/>
      <w:iCs/>
      <w:color w:val="2F5496" w:themeColor="accent1" w:themeShade="BF"/>
    </w:rPr>
  </w:style>
  <w:style w:type="paragraph" w:styleId="IntenseQuote">
    <w:name w:val="Intense Quote"/>
    <w:basedOn w:val="Normal"/>
    <w:next w:val="Normal"/>
    <w:link w:val="IntenseQuoteChar"/>
    <w:uiPriority w:val="30"/>
    <w:qFormat/>
    <w:rsid w:val="005624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2441"/>
    <w:rPr>
      <w:i/>
      <w:iCs/>
      <w:color w:val="2F5496" w:themeColor="accent1" w:themeShade="BF"/>
    </w:rPr>
  </w:style>
  <w:style w:type="character" w:styleId="IntenseReference">
    <w:name w:val="Intense Reference"/>
    <w:basedOn w:val="DefaultParagraphFont"/>
    <w:uiPriority w:val="32"/>
    <w:qFormat/>
    <w:rsid w:val="005624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b67403d-07cc-4c60-8ab4-ac24cdbe559e">HD4H64AFNHYJ-330569034-8568</_dlc_DocId>
    <_dlc_DocIdUrl xmlns="1b67403d-07cc-4c60-8ab4-ac24cdbe559e">
      <Url>https://yorkshirepurchasing.sharepoint.com/sites/PS/energy/_layouts/15/DocIdRedir.aspx?ID=HD4H64AFNHYJ-330569034-8568</Url>
      <Description>HD4H64AFNHYJ-330569034-8568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A3F7B221CEA94E9E0C0B3C05C54BFA" ma:contentTypeVersion="15" ma:contentTypeDescription="Create a new document." ma:contentTypeScope="" ma:versionID="c7e0066f57d645e47ae4e6cc178c88ba">
  <xsd:schema xmlns:xsd="http://www.w3.org/2001/XMLSchema" xmlns:xs="http://www.w3.org/2001/XMLSchema" xmlns:p="http://schemas.microsoft.com/office/2006/metadata/properties" xmlns:ns2="1b67403d-07cc-4c60-8ab4-ac24cdbe559e" xmlns:ns3="b30073de-f90e-484f-8b8c-45a66fb6d95d" targetNamespace="http://schemas.microsoft.com/office/2006/metadata/properties" ma:root="true" ma:fieldsID="9c0288c6ebdbc5448ca1a80aa8005cc8" ns2:_="" ns3:_="">
    <xsd:import namespace="1b67403d-07cc-4c60-8ab4-ac24cdbe559e"/>
    <xsd:import namespace="b30073de-f90e-484f-8b8c-45a66fb6d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403d-07cc-4c60-8ab4-ac24cdbe559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073de-f90e-484f-8b8c-45a66fb6d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314DF-6558-4AB7-89B3-45F555B15B81}">
  <ds:schemaRefs>
    <ds:schemaRef ds:uri="http://schemas.microsoft.com/sharepoint/events"/>
  </ds:schemaRefs>
</ds:datastoreItem>
</file>

<file path=customXml/itemProps2.xml><?xml version="1.0" encoding="utf-8"?>
<ds:datastoreItem xmlns:ds="http://schemas.openxmlformats.org/officeDocument/2006/customXml" ds:itemID="{D16DD763-AD15-4441-B626-FD37CD907DF5}">
  <ds:schemaRefs>
    <ds:schemaRef ds:uri="http://schemas.microsoft.com/sharepoint/v3/contenttype/forms"/>
  </ds:schemaRefs>
</ds:datastoreItem>
</file>

<file path=customXml/itemProps3.xml><?xml version="1.0" encoding="utf-8"?>
<ds:datastoreItem xmlns:ds="http://schemas.openxmlformats.org/officeDocument/2006/customXml" ds:itemID="{509FB2AC-AE26-4EB9-ADD1-F1FBAF885B33}">
  <ds:schemaRefs>
    <ds:schemaRef ds:uri="http://schemas.microsoft.com/office/2006/metadata/properties"/>
    <ds:schemaRef ds:uri="http://schemas.microsoft.com/office/infopath/2007/PartnerControls"/>
    <ds:schemaRef ds:uri="1b67403d-07cc-4c60-8ab4-ac24cdbe559e"/>
  </ds:schemaRefs>
</ds:datastoreItem>
</file>

<file path=customXml/itemProps4.xml><?xml version="1.0" encoding="utf-8"?>
<ds:datastoreItem xmlns:ds="http://schemas.openxmlformats.org/officeDocument/2006/customXml" ds:itemID="{E823485A-304C-4B84-846F-F2EDBB65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7403d-07cc-4c60-8ab4-ac24cdbe559e"/>
    <ds:schemaRef ds:uri="b30073de-f90e-484f-8b8c-45a66fb6d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eccee4-9869-46c2-9004-e8b0ec8946c4}" enabled="0" method="" siteId="{5beccee4-9869-46c2-9004-e8b0ec8946c4}" removed="1"/>
</clbl:labelList>
</file>

<file path=docProps/app.xml><?xml version="1.0" encoding="utf-8"?>
<Properties xmlns="http://schemas.openxmlformats.org/officeDocument/2006/extended-properties" xmlns:vt="http://schemas.openxmlformats.org/officeDocument/2006/docPropsVTypes">
  <Template>Normal</Template>
  <TotalTime>2237</TotalTime>
  <Pages>3</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Warren</dc:creator>
  <cp:keywords/>
  <dc:description/>
  <cp:lastModifiedBy>Jack Fairchild</cp:lastModifiedBy>
  <cp:revision>107</cp:revision>
  <dcterms:created xsi:type="dcterms:W3CDTF">2026-05-18T12:42:00Z</dcterms:created>
  <dcterms:modified xsi:type="dcterms:W3CDTF">2026-07-30T15:09:00Z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0x01010016A3F7B221CEA94E9E0C0B3C05C54BFA</vt:lpwstr>
  </property>
  <property fmtid="{D5CDD505-2E9C-101B-9397-08002B2CF9AE}" pid="3" name="_dlc_DocIdItemGuid">
    <vt:lpwstr>7d77f27d-15f3-4777-9ac9-45417778b480</vt:lpwstr>
  </property>
</Properties>
</file>